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71EF1"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 resposta</w:t>
      </w:r>
      <w:r w:rsidR="00620482">
        <w:rPr>
          <w:rFonts w:asciiTheme="minorHAnsi" w:eastAsia="Times New Roman" w:hAnsiTheme="minorHAnsi" w:cstheme="minorHAnsi"/>
          <w:bCs/>
          <w:i/>
          <w:lang w:eastAsia="pt-BR"/>
        </w:rPr>
        <w:t xml:space="preserve"> ao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esclarecimento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  <w:bookmarkStart w:id="0" w:name="_GoBack"/>
      <w:bookmarkEnd w:id="0"/>
    </w:p>
    <w:p w:rsidR="00E06A46" w:rsidRPr="00E06A46" w:rsidRDefault="00E06A46" w:rsidP="00E06A4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  <w:r w:rsidRPr="00E06A46">
        <w:rPr>
          <w:rFonts w:asciiTheme="minorHAnsi" w:eastAsia="Calibri" w:hAnsiTheme="minorHAnsi" w:cstheme="minorHAnsi"/>
          <w:shd w:val="clear" w:color="auto" w:fill="FFFFFF"/>
          <w:lang w:eastAsia="en-US"/>
        </w:rPr>
        <w:t>Diante do questionamento apresentado pela empresa ITS TELECOMUNICAÇÕES LTDA, quanto à autorização para subcontratação, conforme previsto no item 18.1 do Pregão Eletrônico 001/2021, insta salientar que a vencedora do certame irá figurar no contrato com o Município de Niterói e terá a obrigação exclusiva de assegurar toda a execução do contrato, não sendo permitida a subcontratação total ou da maior parcela do objeto.</w:t>
      </w:r>
    </w:p>
    <w:p w:rsidR="00E06A46" w:rsidRPr="00E06A46" w:rsidRDefault="00E06A46" w:rsidP="00E06A4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Theme="minorHAnsi" w:eastAsia="Calibri" w:hAnsiTheme="minorHAnsi" w:cstheme="minorHAnsi"/>
          <w:shd w:val="clear" w:color="auto" w:fill="FFFFFF"/>
          <w:lang w:eastAsia="en-US"/>
        </w:rPr>
      </w:pPr>
      <w:r w:rsidRPr="00E06A46">
        <w:rPr>
          <w:rFonts w:asciiTheme="minorHAnsi" w:eastAsia="Calibri" w:hAnsiTheme="minorHAnsi" w:cstheme="minorHAnsi"/>
          <w:shd w:val="clear" w:color="auto" w:fill="FFFFFF"/>
          <w:lang w:eastAsia="en-US"/>
        </w:rPr>
        <w:t>A autorização para subcontratação poderá ser feita após a escolha da empresa que figurará no contrato, sendo definida entre as partes as especificações dos serviços a serem subcontratados e prazos, tendo como o percentual máximo em torno de 30% do serviço, conforme a boa prática da Administração Pública.</w:t>
      </w:r>
    </w:p>
    <w:p w:rsidR="00E06A46" w:rsidRPr="00E06A46" w:rsidRDefault="00E06A46" w:rsidP="00E06A46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Theme="minorHAnsi" w:eastAsia="Calibri" w:hAnsiTheme="minorHAnsi" w:cstheme="minorHAnsi"/>
          <w:spacing w:val="8"/>
          <w:shd w:val="clear" w:color="auto" w:fill="FFFFFF"/>
          <w:lang w:eastAsia="en-US"/>
        </w:rPr>
      </w:pPr>
      <w:r w:rsidRPr="00E06A46">
        <w:rPr>
          <w:rFonts w:asciiTheme="minorHAnsi" w:eastAsia="Calibri" w:hAnsiTheme="minorHAnsi" w:cstheme="minorHAnsi"/>
          <w:spacing w:val="8"/>
          <w:shd w:val="clear" w:color="auto" w:fill="FFFFFF"/>
          <w:lang w:eastAsia="en-US"/>
        </w:rPr>
        <w:t>Não obstante, deve ser observado o princípio da indisponibilidade do interesse público, que impõe a obrigação de, ainda que o subcontratado não participe da contratação, ele deva adotar cautelas tendentes a garantir seu resultado e, assim, proteger o interesse público.</w:t>
      </w:r>
    </w:p>
    <w:p w:rsidR="00E06A46" w:rsidRPr="00E06A46" w:rsidRDefault="00E06A46" w:rsidP="00E06A46">
      <w:pPr>
        <w:shd w:val="clear" w:color="auto" w:fill="FFFFFF"/>
        <w:suppressAutoHyphens w:val="0"/>
        <w:spacing w:before="100" w:beforeAutospacing="1" w:after="100" w:afterAutospacing="1" w:line="360" w:lineRule="auto"/>
        <w:ind w:firstLine="709"/>
        <w:jc w:val="both"/>
        <w:rPr>
          <w:rFonts w:asciiTheme="minorHAnsi" w:eastAsia="Times New Roman" w:hAnsiTheme="minorHAnsi" w:cstheme="minorHAnsi"/>
          <w:spacing w:val="8"/>
          <w:lang w:eastAsia="pt-BR"/>
        </w:rPr>
      </w:pPr>
      <w:r w:rsidRPr="00E06A46">
        <w:rPr>
          <w:rFonts w:asciiTheme="minorHAnsi" w:eastAsia="Times New Roman" w:hAnsiTheme="minorHAnsi" w:cstheme="minorHAnsi"/>
          <w:spacing w:val="8"/>
          <w:lang w:eastAsia="pt-BR"/>
        </w:rPr>
        <w:t>Para tanto, deverão ser apresentados os documentos capazes de demonstrar que a subcontratada tem habilitação jurídica, regularidade fiscal e trabalhista e cumpre o disposto no inc. XXXIII do art. 7º da Constituição, além daqueles pertinentes à comprovação de sua qualificação técnica, os quais deverão replicar os requisitos constantes do edital de licitação para a parcela que se pretende subcontratar.</w:t>
      </w:r>
    </w:p>
    <w:p w:rsidR="00C71EF1" w:rsidRPr="00E06A4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E06A46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E06A46" w:rsidRDefault="00C71EF1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:rsidR="00FD69F3" w:rsidRPr="00E06A46" w:rsidRDefault="00FD69F3" w:rsidP="00D649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  <w:r w:rsidRPr="00E06A46">
        <w:rPr>
          <w:rFonts w:asciiTheme="minorHAnsi" w:hAnsiTheme="minorHAnsi" w:cstheme="minorHAnsi"/>
          <w:bCs/>
          <w:i/>
          <w:lang w:eastAsia="pt-BR"/>
        </w:rPr>
        <w:t xml:space="preserve">Secretaria </w:t>
      </w:r>
      <w:r w:rsidR="00D649FE" w:rsidRPr="00E06A46">
        <w:rPr>
          <w:rFonts w:asciiTheme="minorHAnsi" w:hAnsiTheme="minorHAnsi" w:cstheme="minorHAnsi"/>
          <w:bCs/>
          <w:i/>
          <w:lang w:eastAsia="pt-BR"/>
        </w:rPr>
        <w:t xml:space="preserve">Municipal de </w:t>
      </w:r>
      <w:r w:rsidR="00E06A46">
        <w:rPr>
          <w:rFonts w:asciiTheme="minorHAnsi" w:hAnsiTheme="minorHAnsi" w:cstheme="minorHAnsi"/>
          <w:bCs/>
          <w:i/>
          <w:lang w:eastAsia="pt-BR"/>
        </w:rPr>
        <w:t>Planejamento, Orçamento e Modernização da Gestão</w:t>
      </w:r>
    </w:p>
    <w:sectPr w:rsidR="00FD69F3" w:rsidRPr="00E06A46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 Planejamento, Orçamento e Modernização da Gestão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A280ED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2233-E50D-40B6-B9E6-52FD1B6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2020-06-03T19:27:00Z</cp:lastPrinted>
  <dcterms:created xsi:type="dcterms:W3CDTF">2021-01-26T20:09:00Z</dcterms:created>
  <dcterms:modified xsi:type="dcterms:W3CDTF">2021-01-26T20:09:00Z</dcterms:modified>
</cp:coreProperties>
</file>